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90E07" w14:textId="77777777" w:rsidR="00C837CD" w:rsidRDefault="00F95346">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WG2 meeting #114</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R2-2104862</w:t>
      </w:r>
    </w:p>
    <w:p w14:paraId="58290E08" w14:textId="77777777" w:rsidR="00C837CD" w:rsidRDefault="00F95346">
      <w:pPr>
        <w:tabs>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19th - 27th, 2021</w:t>
      </w:r>
    </w:p>
    <w:p w14:paraId="58290E09" w14:textId="77777777" w:rsidR="00C837CD" w:rsidRDefault="00F95346">
      <w:pPr>
        <w:tabs>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14:paraId="58290E0A" w14:textId="77777777" w:rsidR="00C837CD" w:rsidRDefault="00C837CD">
      <w:pPr>
        <w:tabs>
          <w:tab w:val="left" w:pos="1985"/>
        </w:tabs>
        <w:spacing w:after="0"/>
        <w:rPr>
          <w:rFonts w:ascii="Arial" w:eastAsia="Arial" w:hAnsi="Arial" w:cs="Arial"/>
          <w:b/>
          <w:sz w:val="24"/>
          <w:szCs w:val="24"/>
        </w:rPr>
      </w:pPr>
    </w:p>
    <w:p w14:paraId="58290E0B" w14:textId="77777777" w:rsidR="00C837CD" w:rsidRDefault="00F95346">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9.2.2</w:t>
      </w:r>
    </w:p>
    <w:p w14:paraId="58290E0C" w14:textId="77777777" w:rsidR="00C837CD" w:rsidRDefault="00F95346">
      <w:pPr>
        <w:tabs>
          <w:tab w:val="left" w:pos="1985"/>
        </w:tabs>
        <w:spacing w:after="0"/>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proofErr w:type="spellStart"/>
      <w:r>
        <w:rPr>
          <w:rFonts w:ascii="Arial" w:eastAsia="Arial" w:hAnsi="Arial" w:cs="Arial"/>
          <w:sz w:val="24"/>
          <w:szCs w:val="24"/>
        </w:rPr>
        <w:t>GateHouse</w:t>
      </w:r>
      <w:proofErr w:type="spellEnd"/>
      <w:r>
        <w:rPr>
          <w:rFonts w:ascii="Arial" w:eastAsia="Arial" w:hAnsi="Arial" w:cs="Arial"/>
          <w:sz w:val="24"/>
          <w:szCs w:val="24"/>
        </w:rPr>
        <w:t xml:space="preserve">, </w:t>
      </w:r>
      <w:proofErr w:type="spellStart"/>
      <w:r>
        <w:rPr>
          <w:rFonts w:ascii="Arial" w:eastAsia="Arial" w:hAnsi="Arial" w:cs="Arial"/>
          <w:sz w:val="24"/>
          <w:szCs w:val="24"/>
        </w:rPr>
        <w:t>Sateliot</w:t>
      </w:r>
      <w:proofErr w:type="spellEnd"/>
    </w:p>
    <w:p w14:paraId="58290E0D" w14:textId="77777777" w:rsidR="00C837CD" w:rsidRDefault="00F95346">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Mobile-Termination with non-continuous coverage in NTN</w:t>
      </w:r>
    </w:p>
    <w:p w14:paraId="58290E0E" w14:textId="77777777" w:rsidR="00C837CD" w:rsidRDefault="00F95346">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14:paraId="58290E0F" w14:textId="77777777" w:rsidR="00C837CD" w:rsidRDefault="00F95346">
      <w:pPr>
        <w:pStyle w:val="Heading1"/>
      </w:pPr>
      <w:r>
        <w:t>1. Introduction</w:t>
      </w:r>
    </w:p>
    <w:p w14:paraId="58290E10" w14:textId="77777777" w:rsidR="00C837CD" w:rsidRDefault="00F95346">
      <w:r>
        <w:t>A UE and a satellite (the core network) must agree upon the timing of paging occasions such that the UE is monitoring paging and is reachable by the network.</w:t>
      </w:r>
    </w:p>
    <w:p w14:paraId="58290E11" w14:textId="77777777" w:rsidR="00C837CD" w:rsidRDefault="00F95346">
      <w:r>
        <w:t>De</w:t>
      </w:r>
      <w:r>
        <w:t>finitions [3GPP 36.304]:</w:t>
      </w:r>
    </w:p>
    <w:p w14:paraId="58290E12" w14:textId="77777777" w:rsidR="00C837CD" w:rsidRDefault="00F95346">
      <w:pPr>
        <w:numPr>
          <w:ilvl w:val="0"/>
          <w:numId w:val="1"/>
        </w:numPr>
        <w:spacing w:after="0"/>
      </w:pPr>
      <w:r>
        <w:t>A Paging Frame (PF) is one Radio Frame, which may contain one or multiple Paging Occasion(s)</w:t>
      </w:r>
    </w:p>
    <w:p w14:paraId="58290E13" w14:textId="77777777" w:rsidR="00C837CD" w:rsidRDefault="00F95346">
      <w:pPr>
        <w:numPr>
          <w:ilvl w:val="0"/>
          <w:numId w:val="1"/>
        </w:numPr>
        <w:spacing w:before="0"/>
      </w:pPr>
      <w:r>
        <w:t>A Paging Occasion (PO) is a subframe where there may be P-RNTI transmitted on PDCCH addressing the paging message.</w:t>
      </w:r>
    </w:p>
    <w:p w14:paraId="58290E14" w14:textId="77777777" w:rsidR="00C837CD" w:rsidRDefault="00F95346">
      <w:r>
        <w:t>In theory a UE could co</w:t>
      </w:r>
      <w:r>
        <w:t xml:space="preserve">nsider all subframes PO and continuously monitor for paging, but this would be prohibitively expensive in terms of power. Therefore, DRX and later </w:t>
      </w:r>
      <w:proofErr w:type="spellStart"/>
      <w:r>
        <w:t>eDRX</w:t>
      </w:r>
      <w:proofErr w:type="spellEnd"/>
      <w:r>
        <w:t xml:space="preserve"> and PSM were introduced to enable much longer battery-lifetimes by barring POs for large periods of time</w:t>
      </w:r>
      <w:r>
        <w:t>.</w:t>
      </w:r>
    </w:p>
    <w:p w14:paraId="58290E15" w14:textId="77777777" w:rsidR="00C837CD" w:rsidRDefault="00C837CD"/>
    <w:p w14:paraId="58290E16" w14:textId="77777777" w:rsidR="00C837CD" w:rsidRDefault="00F95346">
      <w:pPr>
        <w:pStyle w:val="Heading1"/>
      </w:pPr>
      <w:bookmarkStart w:id="3" w:name="_heading=h.b7o2235vbhbz" w:colFirst="0" w:colLast="0"/>
      <w:bookmarkEnd w:id="3"/>
      <w:r>
        <w:t>2. Paging: Problem Statement</w:t>
      </w:r>
    </w:p>
    <w:p w14:paraId="58290E17" w14:textId="77777777" w:rsidR="00C837CD" w:rsidRDefault="00F95346">
      <w:r>
        <w:t xml:space="preserve">A UE in the NTN scenario will experience cells moving towards and away from the UE and occasional ‘coverage gaps’ in the case of discontinuous coverage. The discontinuous coverage scenario is inherent to NTN networks during </w:t>
      </w:r>
      <w:r>
        <w:t>the rollout of constellations and is a consequence of satellite failure even in dense satellite constellations in addition to services that rely on non-dense satellite constellations.</w:t>
      </w:r>
    </w:p>
    <w:p w14:paraId="58290E18" w14:textId="307B4BE4" w:rsidR="00C837CD" w:rsidRDefault="00F95346">
      <w:r>
        <w:t>These coverage gaps result in UEs not being reachable by the core networ</w:t>
      </w:r>
      <w:r>
        <w:t>k during paging occasions, which could result in UEs not being reachable by the network and either UE or the core network dropping the UE from the network. Consequently,</w:t>
      </w:r>
      <w:r>
        <w:t xml:space="preserve"> UEs may go through battery draining cell searches and ‘NAS-attach’ procedures that will</w:t>
      </w:r>
      <w:r>
        <w:t xml:space="preserve"> also take up capacity in the network.</w:t>
      </w:r>
    </w:p>
    <w:p w14:paraId="58290E19" w14:textId="77777777" w:rsidR="00C837CD" w:rsidRDefault="00F95346">
      <w:r>
        <w:rPr>
          <w:noProof/>
        </w:rPr>
        <w:drawing>
          <wp:inline distT="114300" distB="114300" distL="114300" distR="114300" wp14:anchorId="58290E3D" wp14:editId="58290E3E">
            <wp:extent cx="3285173" cy="757503"/>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3285173" cy="757503"/>
                    </a:xfrm>
                    <a:prstGeom prst="rect">
                      <a:avLst/>
                    </a:prstGeom>
                    <a:ln/>
                  </pic:spPr>
                </pic:pic>
              </a:graphicData>
            </a:graphic>
          </wp:inline>
        </w:drawing>
      </w:r>
    </w:p>
    <w:p w14:paraId="58290E1A" w14:textId="77777777" w:rsidR="00C837CD" w:rsidRDefault="00F95346">
      <w:pPr>
        <w:rPr>
          <w:b/>
        </w:rPr>
      </w:pPr>
      <w:r>
        <w:rPr>
          <w:b/>
        </w:rPr>
        <w:t>Figure 1: Illustration of the mismatching of paging windows and coverage windows in NTN.</w:t>
      </w:r>
    </w:p>
    <w:p w14:paraId="58290E1B" w14:textId="77777777" w:rsidR="00C837CD" w:rsidRDefault="00F95346">
      <w:pPr>
        <w:rPr>
          <w:i/>
        </w:rPr>
      </w:pPr>
      <w:r>
        <w:t xml:space="preserve">Observation 1: </w:t>
      </w:r>
      <w:r>
        <w:rPr>
          <w:i/>
        </w:rPr>
        <w:t>It is essential to define appropriate procedures for handling the issue of paging in NTN in an energy efficient</w:t>
      </w:r>
      <w:r>
        <w:rPr>
          <w:i/>
        </w:rPr>
        <w:t xml:space="preserve"> manner. </w:t>
      </w:r>
    </w:p>
    <w:p w14:paraId="58290E1C" w14:textId="77777777" w:rsidR="00C837CD" w:rsidRDefault="00C837CD"/>
    <w:p w14:paraId="58290E1D" w14:textId="77777777" w:rsidR="00C837CD" w:rsidRDefault="00C837CD"/>
    <w:p w14:paraId="58290E1E" w14:textId="77777777" w:rsidR="00C837CD" w:rsidRDefault="00F95346">
      <w:pPr>
        <w:pStyle w:val="Heading1"/>
      </w:pPr>
      <w:r>
        <w:lastRenderedPageBreak/>
        <w:t>3. Paging: Minimum viable product</w:t>
      </w:r>
    </w:p>
    <w:p w14:paraId="58290E1F" w14:textId="77777777" w:rsidR="00C837CD" w:rsidRDefault="00F95346">
      <w:r>
        <w:t>In R2-2103511 [1], “</w:t>
      </w:r>
      <w:r>
        <w:rPr>
          <w:i/>
        </w:rPr>
        <w:t>Discussion on discontinuous coverage for NTN NB-IoT</w:t>
      </w:r>
      <w:r>
        <w:t xml:space="preserve">”, Huawei and </w:t>
      </w:r>
      <w:proofErr w:type="spellStart"/>
      <w:r>
        <w:t>HiSilicon</w:t>
      </w:r>
      <w:proofErr w:type="spellEnd"/>
      <w:r>
        <w:t xml:space="preserve"> proposed to use </w:t>
      </w:r>
      <w:proofErr w:type="spellStart"/>
      <w:r>
        <w:t>eDRX</w:t>
      </w:r>
      <w:proofErr w:type="spellEnd"/>
      <w:r>
        <w:t xml:space="preserve"> to monitor for paging while a UE is in coverage and PSM/MICO during coverage gaps to limit the power consumption of UEs. An implicit requirement of this scheme is stated explicitly in R1-2102920 [2], “</w:t>
      </w:r>
      <w:r>
        <w:rPr>
          <w:i/>
        </w:rPr>
        <w:t>Discussion</w:t>
      </w:r>
      <w:r>
        <w:rPr>
          <w:i/>
        </w:rPr>
        <w:t xml:space="preserve"> on additional enhancements for IoT-NTN</w:t>
      </w:r>
      <w:r>
        <w:t xml:space="preserve">”, ZTE suggested to enhance </w:t>
      </w:r>
      <w:proofErr w:type="spellStart"/>
      <w:r>
        <w:t>eDRX</w:t>
      </w:r>
      <w:proofErr w:type="spellEnd"/>
      <w:r>
        <w:t xml:space="preserve"> and PSM to support aperiodic sleep such that UEs can be scheduled to wake up and monitor POs within coverage windows.</w:t>
      </w:r>
    </w:p>
    <w:p w14:paraId="58290E20" w14:textId="77777777" w:rsidR="00C837CD" w:rsidRDefault="00F95346">
      <w:r>
        <w:t xml:space="preserve">In order to be viable this scheme must address how the </w:t>
      </w:r>
      <w:proofErr w:type="spellStart"/>
      <w:r>
        <w:t>iDRX</w:t>
      </w:r>
      <w:proofErr w:type="spellEnd"/>
      <w:r>
        <w:t xml:space="preserve"> and PS</w:t>
      </w:r>
      <w:r>
        <w:t>M timers are set and agreed upon between the core network and UEs. One option is that the core network schedules the PSM timer of a UE such that the timer coincides with the next coverage window for that UE. This scheduling could take place upon either RRC</w:t>
      </w:r>
      <w:r>
        <w:t xml:space="preserve"> Release or during/after the RA procedure. The </w:t>
      </w:r>
      <w:proofErr w:type="spellStart"/>
      <w:r>
        <w:t>iDRX</w:t>
      </w:r>
      <w:proofErr w:type="spellEnd"/>
      <w:r>
        <w:t xml:space="preserve"> timer could be set in the same way - possibly just once and maintained through all coverage windows.</w:t>
      </w:r>
    </w:p>
    <w:p w14:paraId="58290E21" w14:textId="77777777" w:rsidR="00C837CD" w:rsidRDefault="00F95346">
      <w:r>
        <w:rPr>
          <w:noProof/>
        </w:rPr>
        <w:drawing>
          <wp:inline distT="114300" distB="114300" distL="114300" distR="114300" wp14:anchorId="58290E3F" wp14:editId="58290E40">
            <wp:extent cx="3589973" cy="826336"/>
            <wp:effectExtent l="0" t="0" r="0" b="0"/>
            <wp:docPr id="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3589973" cy="826336"/>
                    </a:xfrm>
                    <a:prstGeom prst="rect">
                      <a:avLst/>
                    </a:prstGeom>
                    <a:ln/>
                  </pic:spPr>
                </pic:pic>
              </a:graphicData>
            </a:graphic>
          </wp:inline>
        </w:drawing>
      </w:r>
    </w:p>
    <w:p w14:paraId="58290E22" w14:textId="77777777" w:rsidR="00C837CD" w:rsidRDefault="00F95346">
      <w:pPr>
        <w:rPr>
          <w:b/>
        </w:rPr>
      </w:pPr>
      <w:r>
        <w:rPr>
          <w:b/>
        </w:rPr>
        <w:t>Figure 2: Matching paging windows and coverage windows in NTN.</w:t>
      </w:r>
    </w:p>
    <w:p w14:paraId="58290E23" w14:textId="77777777" w:rsidR="00C837CD" w:rsidRDefault="00F95346">
      <w:pPr>
        <w:rPr>
          <w:i/>
        </w:rPr>
      </w:pPr>
      <w:r>
        <w:t>Proposal 1 (from R2-2103511 [1]):</w:t>
      </w:r>
      <w:r>
        <w:rPr>
          <w:i/>
        </w:rPr>
        <w:t xml:space="preserve"> Adop</w:t>
      </w:r>
      <w:r>
        <w:rPr>
          <w:i/>
        </w:rPr>
        <w:t xml:space="preserve">t a scheme where the UE is alternating between </w:t>
      </w:r>
      <w:proofErr w:type="spellStart"/>
      <w:r>
        <w:rPr>
          <w:i/>
        </w:rPr>
        <w:t>eDRX</w:t>
      </w:r>
      <w:proofErr w:type="spellEnd"/>
      <w:r>
        <w:rPr>
          <w:i/>
        </w:rPr>
        <w:t xml:space="preserve"> and PSM based on the presence or outage of coverage.</w:t>
      </w:r>
    </w:p>
    <w:p w14:paraId="58290E24" w14:textId="30EF3968" w:rsidR="00C837CD" w:rsidRDefault="00F95346">
      <w:pPr>
        <w:rPr>
          <w:i/>
        </w:rPr>
      </w:pPr>
      <w:r>
        <w:t xml:space="preserve">Proposal 1a: </w:t>
      </w:r>
      <w:r>
        <w:rPr>
          <w:i/>
        </w:rPr>
        <w:t>The core network should determine PSM/</w:t>
      </w:r>
      <w:proofErr w:type="spellStart"/>
      <w:r>
        <w:rPr>
          <w:i/>
        </w:rPr>
        <w:t>iDRX</w:t>
      </w:r>
      <w:proofErr w:type="spellEnd"/>
      <w:r>
        <w:rPr>
          <w:i/>
        </w:rPr>
        <w:t xml:space="preserve"> timers for each UE according to predicted coverage opportunities and update them for the UE (if required) either upon RRC Release or during/after the random-access</w:t>
      </w:r>
      <w:r>
        <w:rPr>
          <w:i/>
        </w:rPr>
        <w:t xml:space="preserve"> procedure.</w:t>
      </w:r>
    </w:p>
    <w:p w14:paraId="58290E25" w14:textId="7F87653E" w:rsidR="00C837CD" w:rsidRDefault="00F95346">
      <w:r>
        <w:t>In R2-2102829 [3] “</w:t>
      </w:r>
      <w:r>
        <w:rPr>
          <w:i/>
        </w:rPr>
        <w:t>On Cell-Reselection</w:t>
      </w:r>
      <w:r>
        <w:rPr>
          <w:i/>
        </w:rPr>
        <w:t xml:space="preserve"> in NR-NTN</w:t>
      </w:r>
      <w:r>
        <w:t>” and R1-2102752 [4] “</w:t>
      </w:r>
      <w:r>
        <w:rPr>
          <w:i/>
        </w:rPr>
        <w:t>UE Time and frequency Synchronization</w:t>
      </w:r>
      <w:r>
        <w:rPr>
          <w:i/>
        </w:rPr>
        <w:t xml:space="preserve"> for NR-NTN</w:t>
      </w:r>
      <w:r>
        <w:t xml:space="preserve">”, </w:t>
      </w:r>
      <w:proofErr w:type="spellStart"/>
      <w:r>
        <w:t>Mediatek</w:t>
      </w:r>
      <w:proofErr w:type="spellEnd"/>
      <w:r>
        <w:t xml:space="preserve"> proposed that UEs could use long-term ephemeris information to predict coverage gaps. This could allow the UE to wake up from idle-DRX or PSM before a coverage wind</w:t>
      </w:r>
      <w:r>
        <w:t>ow.</w:t>
      </w:r>
    </w:p>
    <w:p w14:paraId="58290E26" w14:textId="77777777" w:rsidR="00C837CD" w:rsidRDefault="00F95346">
      <w:pPr>
        <w:rPr>
          <w:i/>
        </w:rPr>
      </w:pPr>
      <w:r>
        <w:t xml:space="preserve">Proposal 1b: </w:t>
      </w:r>
      <w:r>
        <w:rPr>
          <w:i/>
        </w:rPr>
        <w:t xml:space="preserve">The UE should determine the PSM period according to predicted coverage opportunities and a prediction error bound. </w:t>
      </w:r>
    </w:p>
    <w:p w14:paraId="58290E27" w14:textId="77777777" w:rsidR="00C837CD" w:rsidRDefault="00F95346">
      <w:pPr>
        <w:rPr>
          <w:i/>
        </w:rPr>
      </w:pPr>
      <w:r>
        <w:t>Proposal 1c</w:t>
      </w:r>
      <w:r>
        <w:rPr>
          <w:i/>
        </w:rPr>
        <w:t xml:space="preserve">: The UE and core network should agree on which coverage windows are also paging windows for </w:t>
      </w:r>
      <w:proofErr w:type="spellStart"/>
      <w:r>
        <w:rPr>
          <w:i/>
        </w:rPr>
        <w:t>iDRX</w:t>
      </w:r>
      <w:proofErr w:type="spellEnd"/>
      <w:r>
        <w:rPr>
          <w:i/>
        </w:rPr>
        <w:t xml:space="preserve"> (all by defaul</w:t>
      </w:r>
      <w:r>
        <w:rPr>
          <w:i/>
        </w:rPr>
        <w:t>t).</w:t>
      </w:r>
    </w:p>
    <w:p w14:paraId="58290E28" w14:textId="3CEA18CA" w:rsidR="00C837CD" w:rsidRDefault="00F95346">
      <w:r>
        <w:t>In R1-2102961 [5], “</w:t>
      </w:r>
      <w:r>
        <w:rPr>
          <w:i/>
        </w:rPr>
        <w:t>Essential adaptations for discontinuous coverage in IoT-NTN</w:t>
      </w:r>
      <w:r>
        <w:t xml:space="preserve">”, Gatehouse and </w:t>
      </w:r>
      <w:proofErr w:type="spellStart"/>
      <w:r>
        <w:t>Sateliot</w:t>
      </w:r>
      <w:proofErr w:type="spellEnd"/>
      <w:r>
        <w:t xml:space="preserve"> proposed that TN PSM functionality is re-used, but both the core network and UE will add a wait period X to the T3324 timer that corresponds to the</w:t>
      </w:r>
      <w:r>
        <w:t xml:space="preserve"> time from T3324 expires until the UE is in coverage. Here the UE could determine X by either ephemeris-based</w:t>
      </w:r>
      <w:r>
        <w:t xml:space="preserve"> prediction or by iterative cell search.</w:t>
      </w:r>
    </w:p>
    <w:p w14:paraId="58290E29" w14:textId="77777777" w:rsidR="00C837CD" w:rsidRDefault="00F95346">
      <w:r>
        <w:rPr>
          <w:noProof/>
        </w:rPr>
        <w:drawing>
          <wp:inline distT="114300" distB="114300" distL="114300" distR="114300" wp14:anchorId="58290E41" wp14:editId="58290E42">
            <wp:extent cx="3580448" cy="824863"/>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580448" cy="824863"/>
                    </a:xfrm>
                    <a:prstGeom prst="rect">
                      <a:avLst/>
                    </a:prstGeom>
                    <a:ln/>
                  </pic:spPr>
                </pic:pic>
              </a:graphicData>
            </a:graphic>
          </wp:inline>
        </w:drawing>
      </w:r>
    </w:p>
    <w:p w14:paraId="58290E2A" w14:textId="77777777" w:rsidR="00C837CD" w:rsidRDefault="00F95346">
      <w:r>
        <w:rPr>
          <w:b/>
        </w:rPr>
        <w:t>Figure 3: Moving (current) paging windows into coverage windows in NTN.</w:t>
      </w:r>
    </w:p>
    <w:p w14:paraId="58290E2B" w14:textId="77777777" w:rsidR="00C837CD" w:rsidRDefault="00F95346">
      <w:r>
        <w:t>Proposal 2 (from R1-2102961 [5])</w:t>
      </w:r>
      <w:r>
        <w:t xml:space="preserve">: </w:t>
      </w:r>
      <w:r>
        <w:rPr>
          <w:i/>
        </w:rPr>
        <w:t>Re-use the current PSM scheme adjusting only the timers with the wait-time until the next satellite covers the UE.</w:t>
      </w:r>
    </w:p>
    <w:p w14:paraId="58290E2C" w14:textId="77777777" w:rsidR="00C837CD" w:rsidRDefault="00F95346">
      <w:pPr>
        <w:rPr>
          <w:i/>
        </w:rPr>
      </w:pPr>
      <w:r>
        <w:t xml:space="preserve">Proposal 3: </w:t>
      </w:r>
      <w:r>
        <w:rPr>
          <w:i/>
        </w:rPr>
        <w:t>Let the implementation of paging be up to network operators and UE vendors.</w:t>
      </w:r>
    </w:p>
    <w:p w14:paraId="58290E2D" w14:textId="77777777" w:rsidR="00C837CD" w:rsidRDefault="00F95346">
      <w:pPr>
        <w:pStyle w:val="Heading1"/>
      </w:pPr>
      <w:bookmarkStart w:id="4" w:name="_heading=h.oiwx6mu7nc3" w:colFirst="0" w:colLast="0"/>
      <w:bookmarkEnd w:id="4"/>
      <w:r>
        <w:lastRenderedPageBreak/>
        <w:t>4 Conclusion</w:t>
      </w:r>
    </w:p>
    <w:p w14:paraId="58290E2E" w14:textId="46758784" w:rsidR="00C837CD" w:rsidRDefault="00F95346">
      <w:r>
        <w:t>This document aims to initiate discuss</w:t>
      </w:r>
      <w:r>
        <w:t>ion and possible agreement on the path forward with regards to handling paging in NTN IoT. A few schemes were outlined as proposals for other companies to comment on.</w:t>
      </w:r>
    </w:p>
    <w:p w14:paraId="25DCA41A" w14:textId="77777777" w:rsidR="00F95346" w:rsidRDefault="00F95346"/>
    <w:p w14:paraId="58290E2F" w14:textId="2830AFDE" w:rsidR="00C837CD" w:rsidRDefault="00F95346">
      <w:pPr>
        <w:rPr>
          <w:i/>
        </w:rPr>
      </w:pPr>
      <w:r>
        <w:t xml:space="preserve">Observation 1: </w:t>
      </w:r>
      <w:r>
        <w:rPr>
          <w:i/>
        </w:rPr>
        <w:t>It is essential to define appropriate procedures for handling the issue of</w:t>
      </w:r>
      <w:r>
        <w:rPr>
          <w:i/>
        </w:rPr>
        <w:t xml:space="preserve"> paging in NTN in an energy efficient manner. </w:t>
      </w:r>
    </w:p>
    <w:p w14:paraId="6ED7A605" w14:textId="77777777" w:rsidR="00F95346" w:rsidRDefault="00F95346"/>
    <w:p w14:paraId="58290E30" w14:textId="77777777" w:rsidR="00C837CD" w:rsidRDefault="00F95346">
      <w:pPr>
        <w:rPr>
          <w:i/>
        </w:rPr>
      </w:pPr>
      <w:r>
        <w:t>Proposal 1 (from R2-2103511 of Huawei [1]):</w:t>
      </w:r>
      <w:r>
        <w:rPr>
          <w:i/>
        </w:rPr>
        <w:t xml:space="preserve"> Adopt a scheme where the UE is alternating between </w:t>
      </w:r>
      <w:proofErr w:type="spellStart"/>
      <w:r>
        <w:rPr>
          <w:i/>
        </w:rPr>
        <w:t>eDRX</w:t>
      </w:r>
      <w:proofErr w:type="spellEnd"/>
      <w:r>
        <w:rPr>
          <w:i/>
        </w:rPr>
        <w:t xml:space="preserve"> and PSM based on the presence or outage of coverage.</w:t>
      </w:r>
    </w:p>
    <w:p w14:paraId="58290E31" w14:textId="4F8F45CC" w:rsidR="00C837CD" w:rsidRDefault="00F95346">
      <w:pPr>
        <w:ind w:left="720"/>
      </w:pPr>
      <w:r>
        <w:t xml:space="preserve">Proposal 1a: </w:t>
      </w:r>
      <w:r>
        <w:rPr>
          <w:i/>
        </w:rPr>
        <w:t>The core network should determine PSM/</w:t>
      </w:r>
      <w:proofErr w:type="spellStart"/>
      <w:r>
        <w:rPr>
          <w:i/>
        </w:rPr>
        <w:t>iDRX</w:t>
      </w:r>
      <w:proofErr w:type="spellEnd"/>
      <w:r>
        <w:rPr>
          <w:i/>
        </w:rPr>
        <w:t xml:space="preserve"> </w:t>
      </w:r>
      <w:r>
        <w:rPr>
          <w:i/>
        </w:rPr>
        <w:t>timers for each UE according to predicted coverage opportunities and update them for the UE (if required) either upon s1-release or during/after the random-access</w:t>
      </w:r>
      <w:r>
        <w:rPr>
          <w:i/>
        </w:rPr>
        <w:t xml:space="preserve"> procedure.</w:t>
      </w:r>
    </w:p>
    <w:p w14:paraId="58290E32" w14:textId="77777777" w:rsidR="00C837CD" w:rsidRDefault="00F95346">
      <w:pPr>
        <w:ind w:left="720"/>
        <w:rPr>
          <w:i/>
        </w:rPr>
      </w:pPr>
      <w:r>
        <w:t xml:space="preserve">Proposal 1b: </w:t>
      </w:r>
      <w:r>
        <w:rPr>
          <w:i/>
        </w:rPr>
        <w:t>The UE should determine PSM timers according to predicted coverage op</w:t>
      </w:r>
      <w:r>
        <w:rPr>
          <w:i/>
        </w:rPr>
        <w:t>portunities and a prediction error bound.</w:t>
      </w:r>
    </w:p>
    <w:p w14:paraId="58290E33" w14:textId="1C90486C" w:rsidR="00C837CD" w:rsidRDefault="00F95346">
      <w:pPr>
        <w:ind w:left="720"/>
        <w:rPr>
          <w:i/>
        </w:rPr>
      </w:pPr>
      <w:r>
        <w:t>Proposal 1c</w:t>
      </w:r>
      <w:r>
        <w:rPr>
          <w:i/>
        </w:rPr>
        <w:t xml:space="preserve">: The UE and core network should agree on which coverage windows are also paging windows for </w:t>
      </w:r>
      <w:proofErr w:type="spellStart"/>
      <w:r>
        <w:rPr>
          <w:i/>
        </w:rPr>
        <w:t>iDRX</w:t>
      </w:r>
      <w:proofErr w:type="spellEnd"/>
      <w:r>
        <w:rPr>
          <w:i/>
        </w:rPr>
        <w:t xml:space="preserve"> (all by default).</w:t>
      </w:r>
    </w:p>
    <w:p w14:paraId="66371BF1" w14:textId="77777777" w:rsidR="00F95346" w:rsidRDefault="00F95346">
      <w:pPr>
        <w:ind w:left="720"/>
      </w:pPr>
    </w:p>
    <w:p w14:paraId="58290E34" w14:textId="6B37DC0B" w:rsidR="00C837CD" w:rsidRDefault="00F95346">
      <w:pPr>
        <w:rPr>
          <w:i/>
        </w:rPr>
      </w:pPr>
      <w:r>
        <w:t xml:space="preserve">Proposal 2 (from R1-2102961 of Gatehouse, </w:t>
      </w:r>
      <w:proofErr w:type="spellStart"/>
      <w:r>
        <w:t>Sateliot</w:t>
      </w:r>
      <w:proofErr w:type="spellEnd"/>
      <w:r>
        <w:t xml:space="preserve"> [5]): </w:t>
      </w:r>
      <w:r>
        <w:rPr>
          <w:i/>
        </w:rPr>
        <w:t>Re-use the current PSM scheme a</w:t>
      </w:r>
      <w:r>
        <w:rPr>
          <w:i/>
        </w:rPr>
        <w:t>djusting only the timers with the wait-time until the next satellite covers the UE.</w:t>
      </w:r>
    </w:p>
    <w:p w14:paraId="590176A0" w14:textId="77777777" w:rsidR="00F95346" w:rsidRDefault="00F95346"/>
    <w:p w14:paraId="58290E35" w14:textId="5C68517B" w:rsidR="00C837CD" w:rsidRDefault="00F95346">
      <w:pPr>
        <w:rPr>
          <w:i/>
        </w:rPr>
      </w:pPr>
      <w:r>
        <w:t xml:space="preserve">Proposal 3: </w:t>
      </w:r>
      <w:r>
        <w:rPr>
          <w:i/>
        </w:rPr>
        <w:t>Let the implementation of paging be up to network operators and UE vendors.</w:t>
      </w:r>
    </w:p>
    <w:p w14:paraId="290AB500" w14:textId="77777777" w:rsidR="00F95346" w:rsidRDefault="00F95346"/>
    <w:p w14:paraId="58290E36" w14:textId="77777777" w:rsidR="00C837CD" w:rsidRDefault="00F95346">
      <w:pPr>
        <w:pStyle w:val="Heading1"/>
      </w:pPr>
      <w:bookmarkStart w:id="5" w:name="_heading=h.3znysh7" w:colFirst="0" w:colLast="0"/>
      <w:bookmarkEnd w:id="5"/>
      <w:r>
        <w:t>5 References</w:t>
      </w:r>
    </w:p>
    <w:p w14:paraId="58290E37" w14:textId="77777777" w:rsidR="00C837CD" w:rsidRDefault="00F95346">
      <w:r>
        <w:t xml:space="preserve">[1] </w:t>
      </w:r>
      <w:hyperlink r:id="rId9">
        <w:r>
          <w:rPr>
            <w:color w:val="1155CC"/>
            <w:u w:val="single"/>
          </w:rPr>
          <w:t>R2-2103511</w:t>
        </w:r>
      </w:hyperlink>
      <w:r>
        <w:t xml:space="preserve">, “Discussion on discontinuous coverage for NTN NB-IoT”, Huawei, </w:t>
      </w:r>
      <w:proofErr w:type="spellStart"/>
      <w:r>
        <w:t>HiSilicon</w:t>
      </w:r>
      <w:proofErr w:type="spellEnd"/>
      <w:r>
        <w:t>, 3GPP TSG</w:t>
      </w:r>
      <w:r>
        <w:br/>
        <w:t xml:space="preserve">      RAN WG2 Meeting #113b-e, 12th April - 20th April, 2021</w:t>
      </w:r>
    </w:p>
    <w:p w14:paraId="58290E38" w14:textId="77777777" w:rsidR="00C837CD" w:rsidRDefault="00F95346">
      <w:r>
        <w:t xml:space="preserve">[2] </w:t>
      </w:r>
      <w:hyperlink r:id="rId10">
        <w:r>
          <w:rPr>
            <w:color w:val="1155CC"/>
            <w:u w:val="single"/>
          </w:rPr>
          <w:t>R1-2102920</w:t>
        </w:r>
      </w:hyperlink>
      <w:r>
        <w:t>, “ Discussion on additional enhancement for IoT-NTN”, ZTE, 3GPP TSG RAN WG1</w:t>
      </w:r>
      <w:r>
        <w:br/>
        <w:t xml:space="preserve">     Meeting #104b-e, 12th April - 20th April, 2021</w:t>
      </w:r>
    </w:p>
    <w:p w14:paraId="58290E39" w14:textId="77777777" w:rsidR="00C837CD" w:rsidRDefault="00F95346">
      <w:r>
        <w:t xml:space="preserve">[3] </w:t>
      </w:r>
      <w:hyperlink r:id="rId11">
        <w:r>
          <w:rPr>
            <w:color w:val="1155CC"/>
            <w:u w:val="single"/>
          </w:rPr>
          <w:t>R2-2102829</w:t>
        </w:r>
      </w:hyperlink>
      <w:r>
        <w:t xml:space="preserve">, “On Cell Re-selection in IoT-NTN”, </w:t>
      </w:r>
      <w:proofErr w:type="spellStart"/>
      <w:r>
        <w:t>Mediatek</w:t>
      </w:r>
      <w:proofErr w:type="spellEnd"/>
      <w:r>
        <w:t xml:space="preserve"> Inc., Eutelsat, 3GPP TSG RAN WG2</w:t>
      </w:r>
      <w:r>
        <w:br/>
        <w:t xml:space="preserve">      Meeting #113b-e, 12th April - 20th April, 2021</w:t>
      </w:r>
    </w:p>
    <w:p w14:paraId="58290E3A" w14:textId="77777777" w:rsidR="00C837CD" w:rsidRDefault="00F95346">
      <w:r>
        <w:t xml:space="preserve">[4] </w:t>
      </w:r>
      <w:hyperlink r:id="rId12">
        <w:r>
          <w:rPr>
            <w:color w:val="1155CC"/>
            <w:u w:val="single"/>
          </w:rPr>
          <w:t>R1-2102752</w:t>
        </w:r>
      </w:hyperlink>
      <w:r>
        <w:t xml:space="preserve">, “UE Time and frequency </w:t>
      </w:r>
      <w:proofErr w:type="spellStart"/>
      <w:r>
        <w:t>Synchronisation</w:t>
      </w:r>
      <w:proofErr w:type="spellEnd"/>
      <w:r>
        <w:t xml:space="preserve"> for NR-NTN”, </w:t>
      </w:r>
      <w:proofErr w:type="spellStart"/>
      <w:r>
        <w:t>Mediatek</w:t>
      </w:r>
      <w:proofErr w:type="spellEnd"/>
      <w:r>
        <w:t xml:space="preserve"> Inc.,3GPP TSG RAN </w:t>
      </w:r>
      <w:r>
        <w:br/>
        <w:t xml:space="preserve">      WG1 Meeting #104-bis-e, April 12th  – April 20th, 2021</w:t>
      </w:r>
    </w:p>
    <w:p w14:paraId="58290E3B" w14:textId="77777777" w:rsidR="00C837CD" w:rsidRDefault="00F95346">
      <w:r>
        <w:t xml:space="preserve">[5] </w:t>
      </w:r>
      <w:hyperlink r:id="rId13">
        <w:r>
          <w:rPr>
            <w:color w:val="1155CC"/>
            <w:u w:val="single"/>
          </w:rPr>
          <w:t>R2-2102961</w:t>
        </w:r>
      </w:hyperlink>
      <w:r>
        <w:t xml:space="preserve">, “Essential adaptations for discontinuous coverage in IoT-NTN”, Gatehouse, </w:t>
      </w:r>
      <w:proofErr w:type="spellStart"/>
      <w:r>
        <w:t>Sateliot</w:t>
      </w:r>
      <w:proofErr w:type="spellEnd"/>
      <w:r>
        <w:t>, 3GPP</w:t>
      </w:r>
      <w:r>
        <w:br/>
        <w:t xml:space="preserve">      TSG RAN WG2 Meeting #113b-e, 12th April - 20th April, 20</w:t>
      </w:r>
      <w:r>
        <w:t>21</w:t>
      </w:r>
    </w:p>
    <w:p w14:paraId="58290E3C" w14:textId="77777777" w:rsidR="00C837CD" w:rsidRDefault="00C837CD">
      <w:pPr>
        <w:pBdr>
          <w:top w:val="nil"/>
          <w:left w:val="nil"/>
          <w:bottom w:val="nil"/>
          <w:right w:val="nil"/>
          <w:between w:val="nil"/>
        </w:pBdr>
        <w:spacing w:after="60"/>
      </w:pPr>
    </w:p>
    <w:sectPr w:rsidR="00C837CD">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B77EE"/>
    <w:multiLevelType w:val="multilevel"/>
    <w:tmpl w:val="71B6C1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7CD"/>
    <w:rsid w:val="00C837CD"/>
    <w:rsid w:val="00F953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0E07"/>
  <w15:docId w15:val="{EA4CD279-D657-4D43-A670-84B19C8E7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3gpp.org/ftp/TSG_RAN/WG2_RL2/TSGR2_113bis-e/Docs/R2-2102961.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ww.3gpp.org/ftp/tsg_ran/WG1_RL1/TSGR1_104b-e/Docs/R1-21027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3gpp.org/ftp/TSG_RAN/WG2_RL2/TSGR2_113bis-e/Docs/R2-210282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04b-e/Docs/R1-2102920.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351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J0vVRY+sUYxVHzow2TMMwCyUNQ==">AMUW2mWKYlv81C5Dw7CU3dHdHMzGELsho/K4sPoVERUkTGd7kXLKynJs/1fU0Qh7AZgZZ/G43F6aQwvPPaNayLMbWUbGm6E6oJG75Z+/9nha7/b/4m+W7Eg5erEhGs24WXKMbD8YoKXJ6uZn8oWuMQ9fawJSlHfBTaduel78Jh+LGK5+mtVB5TH/O5mE6U+tTGPG3r+hkEMHEPQ5BqSQ7gdThu3U1OUh2A==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2</cp:revision>
  <dcterms:created xsi:type="dcterms:W3CDTF">2021-04-29T13:07:00Z</dcterms:created>
  <dcterms:modified xsi:type="dcterms:W3CDTF">2021-05-06T19:34:00Z</dcterms:modified>
</cp:coreProperties>
</file>